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Диагностика одаренности</w:t>
            </w:r>
          </w:p>
          <w:p>
            <w:pPr>
              <w:jc w:val="center"/>
              <w:spacing w:after="0" w:line="240" w:lineRule="auto"/>
              <w:rPr>
                <w:sz w:val="32"/>
                <w:szCs w:val="32"/>
              </w:rPr>
            </w:pPr>
            <w:r>
              <w:rPr>
                <w:rFonts w:ascii="Times New Roman" w:hAnsi="Times New Roman" w:cs="Times New Roman"/>
                <w:color w:val="#000000"/>
                <w:sz w:val="32"/>
                <w:szCs w:val="32"/>
              </w:rPr>
              <w:t> Б1.В.01.ДВ.01.02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«Дополнительное образование детей»</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522.81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«Диагностика одаренности»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Б1.В.01.ДВ.01.02 «Диагностика одаренности».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«Диагностика одаренности»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вести совместно с другими участниками исследовательскую деятельность в рамках выбранной проблематики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методологические основы  исследовательской деятельности в образовании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работать в исследовательской  команде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проектировать  программы исследования  в  рамках  выбранной проблематики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отбирать методологические  основания  и используемые  методы педагогического  исследования,  источники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приемами организации  работы  проектной (исследовательской)  команды для поиска и применения знаний в рамках выбранной  проблематики  с  целью решения задач  развития профессиональной деятельности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педагогические процессы в условиях дополнительного образования, использовать при этом методологию и методы педагогического исследования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особенности педагогических  процессов различного  типа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отбирать соответствующие  методы  и  приемы педагогического исследования  в процессе  конструирования педагогических  процессов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профессиональными  практическими  умениями,  необходимыми  для конструирования  педагогических процессов  различного  типа  в условиях дополнительного образования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и оценку качества реализации дополнительных общеобразовательных программ</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особенности проведения мониторинга в условиях дополнительного образования</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уметь отбирать инструментарий  и  методы  для проведения  мониторинга  и оценки качества  реализации дополнительных общеобразовательных  программ</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уметь оформлять результаты мониторинга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владеть способами осуществления оценки методов  и приемов  мониторинговых исследований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владеть методами  и приемами  мониторинговых исследований</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способы выделения проблемной ситуации на основе  анализа проблемы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информации, необходимой для выработки стратегии действий по разрешению проблемной ситуации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грамотно, логично, аргументированно формулировать суждения и оценки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выявлять и оценивать практические последствия действий по разрешению проблемной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способами осуществления критической оценки преимуществ возможных решений проблемной ситуации и выявляет возможные риски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способами выстраивания стратегии действий</w:t>
            </w:r>
          </w:p>
        </w:tc>
      </w:tr>
      <w:tr>
        <w:trPr>
          <w:trHeight w:hRule="exact" w:val="277.8304"/>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способы выстраивания стратегии сотрудничества для достижения поставленной  цели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и общения разных людей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этические нормы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уметь определять роль каждого участника в команде в соответствии с личностными особенностями и профессиональными качествами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учитывать в совместной деятельности особенности поведения и общения разных людей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осуществлять руководство командой и достижением поставленной цели на основе разных видов коммуникации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видеть результаты  (последствия) личных действий, планировать последовательность шагов для достижения поставленной цели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эффективно взаимодействовать с членами команды, в т.ч. участвовать в обмене информацией, знаниями и опытом и презентации результатов работы команды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владеть способами контроля выполнения последовательности шагов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навыками соблюдения норм профессиональной этики, участвуя во взаимодействии с другими членами команды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840.69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Б1.В.01.ДВ.01.02 «Диагностика одаренности» относится к обязательной части, является дисциплиной Блока Б1. «Дисциплины (модули)». Модуль "Формирование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среды развития одаренных детей и талантливой молодежи"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293.97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Педагогическое взаимодействие с одаренными детьми и талантливой молодежью</w:t>
            </w:r>
          </w:p>
          <w:p>
            <w:pPr>
              <w:jc w:val="center"/>
              <w:spacing w:after="0" w:line="240" w:lineRule="auto"/>
              <w:rPr>
                <w:sz w:val="22"/>
                <w:szCs w:val="22"/>
              </w:rPr>
            </w:pPr>
            <w:r>
              <w:rPr>
                <w:rFonts w:ascii="Times New Roman" w:hAnsi="Times New Roman" w:cs="Times New Roman"/>
                <w:color w:val="#000000"/>
                <w:sz w:val="22"/>
                <w:szCs w:val="22"/>
              </w:rPr>
              <w:t> Психология и педагогика одаренности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Педагогическая диагностика в дополнительном образовании</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Организация педагогического процесса в учреждениях дополнительного образования детей</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ПК-6, УК-1, УК-3, ПК-2,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Основные современные концепции одаренности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Диагностика детской одаренности как психолого-педагогическая проблема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Диагностика  одаренности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Виды одаренности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38.8357"/>
        </w:trPr>
        <w:tc>
          <w:tcPr>
            <w:tcW w:w="9654" w:type="dxa"/>
            <w:gridSpan w:val="7"/>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Основные современные концепции одаренности</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Исследование проблем одаренности в зарубежной психологии (Дж Рензулли, Ф. Монкс и А. Танненбаум, R Стренберг и Е. Григоренко, К. Хеллер, К. Спирмен, Д. Терстоун, Дж. Гилфорд, Д. Векслер, П. Торренс, Р. Кэттелл, Ф. Вернон и др.). Изучение способностей и одаренности детей в отечественной науке (Л.С. Выготский, А.Н. Леонтьев, Б.Г. Ананьев, Б.М. Теплов, В.Н. Мясищев, Н.С. Лейтес, Д.Б. Богоявленская, А.М. Матюшкин, В.Н. Дружинин, В.Д. Шадриков, М.А. Холодная, В.И. Панов, Ю.Д. Бабаева). «Рабочая концепция одаренности» российских ученых (Д.Б. Богоявленская, В.Д. Шадриков и др.) как основа развертывания практической работы по обучению одаренных учащихся в соответствии с федеральной целевой программой «Одаренные дети». Феноменологии детской одаренности. Понятие «одаренные дети» и «детская одаренность». Проблема дифференциации видов одаренности. Классификация одаренных и способных детей в отечественной и зарубежной науке. Типы одаренности детей по Н.С. Лейтесу, М.А. Холодной. Признаки проявления одаренности. Понятия «интеллектуальная одаренность», «академическая одаренность», «творческая одаренность», «социальная одаренность», «психомоторная одаренность». Формы проявления одаренности: явная и скрытая, актуальная и потенциальная, ранняя и поздняя. Кризисы детской одаренности.</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Диагностика детской одаренности как психолого-педагогическая проблема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одаренности личности как многоуровневая система. Особеннсти личности одаренного ребёнка (гармоничный и дисгармоничный тип развития), неравномерность психического развития. Взаимоотношения со сверстниками и взрослыми. Роль семьи. Основные варианты организации диагностического обследования. Модель идентификации одаренных. Методы и методики диагностики одаренности для педагогов и родителей. Учебные исследования в дошкольном периоде и в начальном школьном образовании.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Диагностика  одаренности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1.Интеллект и творчество. 2.Тесты Дж. Гилфорда. Тесты П. Торренса как средство диагностики вербальной и невербальной креативности: процедура обследования, стимульный материал, инструкция, обработка результатов.</w:t>
            </w:r>
          </w:p>
          <w:p>
            <w:pPr>
              <w:jc w:val="both"/>
              <w:spacing w:after="0" w:line="240" w:lineRule="auto"/>
              <w:rPr>
                <w:sz w:val="24"/>
                <w:szCs w:val="24"/>
              </w:rPr>
            </w:pPr>
            <w:r>
              <w:rPr>
                <w:rFonts w:ascii="Times New Roman" w:hAnsi="Times New Roman" w:cs="Times New Roman"/>
                <w:color w:val="#000000"/>
                <w:sz w:val="24"/>
                <w:szCs w:val="24"/>
              </w:rPr>
              <w:t> 3.Проективные методики изучения творчества: тест Роршаха, «Несуществующее животное».</w:t>
            </w:r>
          </w:p>
          <w:p>
            <w:pPr>
              <w:jc w:val="both"/>
              <w:spacing w:after="0" w:line="240" w:lineRule="auto"/>
              <w:rPr>
                <w:sz w:val="24"/>
                <w:szCs w:val="24"/>
              </w:rPr>
            </w:pPr>
            <w:r>
              <w:rPr>
                <w:rFonts w:ascii="Times New Roman" w:hAnsi="Times New Roman" w:cs="Times New Roman"/>
                <w:color w:val="#000000"/>
                <w:sz w:val="24"/>
                <w:szCs w:val="24"/>
              </w:rPr>
              <w:t> 4. Практическая работа с целью освоения методов диагностики творческих способностей учащихся: наблюдении, анализ деятельности, диагностирующий контроль, исследовательская беседа, игра, работа с родителями.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Виды одаренности</w:t>
            </w:r>
          </w:p>
        </w:tc>
      </w:tr>
      <w:tr>
        <w:trPr>
          <w:trHeight w:hRule="exact" w:val="21.31518"/>
        </w:trPr>
        <w:tc>
          <w:tcPr>
            <w:tcW w:w="9640" w:type="dxa"/>
          </w:tcPr>
          <w:p/>
        </w:tc>
      </w:tr>
      <w:tr>
        <w:trPr>
          <w:trHeight w:hRule="exact" w:val="2225.72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1.Критерии выделения видов одаренности.</w:t>
            </w:r>
          </w:p>
          <w:p>
            <w:pPr>
              <w:jc w:val="left"/>
              <w:spacing w:after="0" w:line="240" w:lineRule="auto"/>
              <w:rPr>
                <w:sz w:val="24"/>
                <w:szCs w:val="24"/>
              </w:rPr>
            </w:pPr>
            <w:r>
              <w:rPr>
                <w:rFonts w:ascii="Times New Roman" w:hAnsi="Times New Roman" w:cs="Times New Roman"/>
                <w:color w:val="#000000"/>
                <w:sz w:val="24"/>
                <w:szCs w:val="24"/>
              </w:rPr>
              <w:t> 2. Виды одаренности по критерию «вид деятельности и обеспечивающие ее сферы психики».</w:t>
            </w:r>
          </w:p>
          <w:p>
            <w:pPr>
              <w:jc w:val="left"/>
              <w:spacing w:after="0" w:line="240" w:lineRule="auto"/>
              <w:rPr>
                <w:sz w:val="24"/>
                <w:szCs w:val="24"/>
              </w:rPr>
            </w:pPr>
            <w:r>
              <w:rPr>
                <w:rFonts w:ascii="Times New Roman" w:hAnsi="Times New Roman" w:cs="Times New Roman"/>
                <w:color w:val="#000000"/>
                <w:sz w:val="24"/>
                <w:szCs w:val="24"/>
              </w:rPr>
              <w:t> 3.Виды одаренности по критерию «степень сформированности одаренности»: актуальная и потенциальная одаренность.</w:t>
            </w:r>
          </w:p>
          <w:p>
            <w:pPr>
              <w:jc w:val="left"/>
              <w:spacing w:after="0" w:line="240" w:lineRule="auto"/>
              <w:rPr>
                <w:sz w:val="24"/>
                <w:szCs w:val="24"/>
              </w:rPr>
            </w:pPr>
            <w:r>
              <w:rPr>
                <w:rFonts w:ascii="Times New Roman" w:hAnsi="Times New Roman" w:cs="Times New Roman"/>
                <w:color w:val="#000000"/>
                <w:sz w:val="24"/>
                <w:szCs w:val="24"/>
              </w:rPr>
              <w:t>  4. Виды одаренности по критерию «широта проявлений в различных видах деятельности»: общая и специальная одаренность.</w:t>
            </w:r>
          </w:p>
          <w:p>
            <w:pPr>
              <w:jc w:val="left"/>
              <w:spacing w:after="0" w:line="240" w:lineRule="auto"/>
              <w:rPr>
                <w:sz w:val="24"/>
                <w:szCs w:val="24"/>
              </w:rPr>
            </w:pPr>
            <w:r>
              <w:rPr>
                <w:rFonts w:ascii="Times New Roman" w:hAnsi="Times New Roman" w:cs="Times New Roman"/>
                <w:color w:val="#000000"/>
                <w:sz w:val="24"/>
                <w:szCs w:val="24"/>
              </w:rPr>
              <w:t>  5. Виды одаренности по критерию «особенности возрастного развития»: ранняя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поздняя одаренность.</w:t>
            </w:r>
          </w:p>
          <w:p>
            <w:pPr>
              <w:jc w:val="left"/>
              <w:spacing w:after="0" w:line="240" w:lineRule="auto"/>
              <w:rPr>
                <w:sz w:val="24"/>
                <w:szCs w:val="24"/>
              </w:rPr>
            </w:pPr>
            <w:r>
              <w:rPr>
                <w:rFonts w:ascii="Times New Roman" w:hAnsi="Times New Roman" w:cs="Times New Roman"/>
                <w:color w:val="#000000"/>
                <w:sz w:val="24"/>
                <w:szCs w:val="24"/>
              </w:rPr>
              <w:t> 6.Виды одаренности по критерию «форма проявления»: явная и скрытая одаренность. Особые категории одаренных детей.</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«Диагностика одаренности»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91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169.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46.0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1.3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2024-2025_ФГОС3++2024_Маг-ЗФО-ПО(ДО)(24)_plx_Диагностика одаренности</dc:title>
  <dc:creator>FastReport.NET</dc:creator>
</cp:coreProperties>
</file>